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C6" w:rsidRPr="00865CFE" w:rsidRDefault="000D31C6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0D31C6" w:rsidRPr="000D31C6" w:rsidRDefault="000D31C6" w:rsidP="00865CFE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C00000"/>
          <w:sz w:val="45"/>
          <w:szCs w:val="45"/>
          <w:lang w:eastAsia="es-CO"/>
        </w:rPr>
      </w:pPr>
      <w:r w:rsidRPr="00865CFE">
        <w:rPr>
          <w:rFonts w:ascii="Arial" w:eastAsia="Times New Roman" w:hAnsi="Arial" w:cs="Arial"/>
          <w:b/>
          <w:bCs/>
          <w:color w:val="C00000"/>
          <w:sz w:val="45"/>
          <w:szCs w:val="45"/>
          <w:lang w:eastAsia="es-CO"/>
        </w:rPr>
        <w:t>Política Integral Sistema de Gestión</w:t>
      </w:r>
    </w:p>
    <w:p w:rsidR="000D31C6" w:rsidRPr="000D31C6" w:rsidRDefault="000D31C6" w:rsidP="00865C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0D31C6">
        <w:rPr>
          <w:rFonts w:ascii="Arial" w:eastAsia="Times New Roman" w:hAnsi="Arial" w:cs="Arial"/>
          <w:color w:val="333333"/>
          <w:sz w:val="23"/>
          <w:szCs w:val="23"/>
          <w:lang w:eastAsia="es-CO"/>
        </w:rPr>
        <w:t xml:space="preserve">Bancoomeva está comprometida con sus grupos de interés con ser la mejor alternativa de soluciones financieras, mediante una oferta integral de productos, servicios y canales; asegurando la calidad, </w:t>
      </w:r>
      <w:proofErr w:type="spellStart"/>
      <w:r w:rsidRPr="000D31C6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resolutividad</w:t>
      </w:r>
      <w:proofErr w:type="spellEnd"/>
      <w:r w:rsidRPr="000D31C6">
        <w:rPr>
          <w:rFonts w:ascii="Arial" w:eastAsia="Times New Roman" w:hAnsi="Arial" w:cs="Arial"/>
          <w:color w:val="333333"/>
          <w:sz w:val="23"/>
          <w:szCs w:val="23"/>
          <w:lang w:eastAsia="es-CO"/>
        </w:rPr>
        <w:t xml:space="preserve"> y un servicio excepcional, con un enfoque de riesgos, garantizando la seguridad y ciberseguridad de la información, contribuyendo al mejoramiento continuo en la gestión y la creación de valor sostenible.</w:t>
      </w:r>
    </w:p>
    <w:p w:rsidR="00A636A3" w:rsidRPr="00FA0C53" w:rsidRDefault="00A636A3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574" w:rsidRPr="00FA0C53" w:rsidRDefault="00267574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C53">
        <w:rPr>
          <w:rFonts w:ascii="Arial" w:hAnsi="Arial" w:cs="Arial"/>
          <w:sz w:val="24"/>
          <w:szCs w:val="24"/>
        </w:rPr>
        <w:t xml:space="preserve">La estrategia adoptada por Bancoomeva </w:t>
      </w:r>
      <w:r w:rsidR="00A636A3" w:rsidRPr="00FA0C53">
        <w:rPr>
          <w:rFonts w:ascii="Arial" w:hAnsi="Arial" w:cs="Arial"/>
          <w:sz w:val="24"/>
          <w:szCs w:val="24"/>
        </w:rPr>
        <w:t xml:space="preserve">y </w:t>
      </w:r>
      <w:r w:rsidRPr="00FA0C53">
        <w:rPr>
          <w:rFonts w:ascii="Arial" w:hAnsi="Arial" w:cs="Arial"/>
          <w:sz w:val="24"/>
          <w:szCs w:val="24"/>
        </w:rPr>
        <w:t>aprobada por la Junta Directiva, debe</w:t>
      </w:r>
      <w:r w:rsidR="00865CFE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>reflejarse en la articulación de los procesos que permitan generar valor para los diferentes públicos de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 xml:space="preserve">interés. La cadena de valor es la representación gráfica de los distintos </w:t>
      </w:r>
      <w:proofErr w:type="spellStart"/>
      <w:r w:rsidRPr="00FA0C53">
        <w:rPr>
          <w:rFonts w:ascii="Arial" w:hAnsi="Arial" w:cs="Arial"/>
          <w:sz w:val="24"/>
          <w:szCs w:val="24"/>
        </w:rPr>
        <w:t>Macroprocesos</w:t>
      </w:r>
      <w:proofErr w:type="spellEnd"/>
      <w:r w:rsidRPr="00FA0C53">
        <w:rPr>
          <w:rFonts w:ascii="Arial" w:hAnsi="Arial" w:cs="Arial"/>
          <w:sz w:val="24"/>
          <w:szCs w:val="24"/>
        </w:rPr>
        <w:t xml:space="preserve"> del Banco,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>que permite visualizar sus interrelaciones y fuentes de ventajas competitiva</w:t>
      </w:r>
      <w:r w:rsidR="00A636A3" w:rsidRPr="00FA0C53">
        <w:rPr>
          <w:rFonts w:ascii="Arial" w:hAnsi="Arial" w:cs="Arial"/>
          <w:sz w:val="24"/>
          <w:szCs w:val="24"/>
        </w:rPr>
        <w:t xml:space="preserve">s, la que está conformada por tres </w:t>
      </w:r>
      <w:r w:rsidRPr="00FA0C53">
        <w:rPr>
          <w:rFonts w:ascii="Arial" w:hAnsi="Arial" w:cs="Arial"/>
          <w:sz w:val="24"/>
          <w:szCs w:val="24"/>
        </w:rPr>
        <w:t>categorías, así:</w:t>
      </w:r>
    </w:p>
    <w:p w:rsidR="00A636A3" w:rsidRPr="00FA0C53" w:rsidRDefault="00A636A3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CFE" w:rsidRDefault="00267574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C53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A0C53">
        <w:rPr>
          <w:rFonts w:ascii="Arial" w:hAnsi="Arial" w:cs="Arial"/>
          <w:b/>
          <w:bCs/>
          <w:sz w:val="24"/>
          <w:szCs w:val="24"/>
        </w:rPr>
        <w:t>Macroprocesos</w:t>
      </w:r>
      <w:proofErr w:type="spellEnd"/>
      <w:r w:rsidRPr="00FA0C53">
        <w:rPr>
          <w:rFonts w:ascii="Arial" w:hAnsi="Arial" w:cs="Arial"/>
          <w:b/>
          <w:bCs/>
          <w:sz w:val="24"/>
          <w:szCs w:val="24"/>
        </w:rPr>
        <w:t xml:space="preserve"> Estratégicos</w:t>
      </w:r>
      <w:r w:rsidRPr="00FA0C53">
        <w:rPr>
          <w:rFonts w:ascii="Arial" w:hAnsi="Arial" w:cs="Arial"/>
          <w:sz w:val="24"/>
          <w:szCs w:val="24"/>
        </w:rPr>
        <w:t xml:space="preserve">: Conjunto de </w:t>
      </w:r>
      <w:proofErr w:type="spellStart"/>
      <w:r w:rsidRPr="00FA0C53">
        <w:rPr>
          <w:rFonts w:ascii="Arial" w:hAnsi="Arial" w:cs="Arial"/>
          <w:sz w:val="24"/>
          <w:szCs w:val="24"/>
        </w:rPr>
        <w:t>Macroprocesos</w:t>
      </w:r>
      <w:proofErr w:type="spellEnd"/>
      <w:r w:rsidRPr="00FA0C53">
        <w:rPr>
          <w:rFonts w:ascii="Arial" w:hAnsi="Arial" w:cs="Arial"/>
          <w:sz w:val="24"/>
          <w:szCs w:val="24"/>
        </w:rPr>
        <w:t xml:space="preserve"> que proveen orientación o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>direccionamiento global del negocio y permiten administrar el cambio a nivel organizacional,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>el cumplimiento de su misión, la definición de políticas en las principales áreas claves de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 xml:space="preserve">resultados, el seguimiento y control de los </w:t>
      </w:r>
      <w:r w:rsidR="00A636A3" w:rsidRPr="00FA0C53">
        <w:rPr>
          <w:rFonts w:ascii="Arial" w:hAnsi="Arial" w:cs="Arial"/>
          <w:sz w:val="24"/>
          <w:szCs w:val="24"/>
        </w:rPr>
        <w:t>r</w:t>
      </w:r>
      <w:r w:rsidRPr="00FA0C53">
        <w:rPr>
          <w:rFonts w:ascii="Arial" w:hAnsi="Arial" w:cs="Arial"/>
          <w:sz w:val="24"/>
          <w:szCs w:val="24"/>
        </w:rPr>
        <w:t>esultados de toda la organización y el desarrollo y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>cumplimiento de las normas internas y externas.</w:t>
      </w:r>
    </w:p>
    <w:p w:rsidR="00865CFE" w:rsidRDefault="00865CFE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574" w:rsidRPr="00FA0C53" w:rsidRDefault="00267574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C5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FA0C53">
        <w:rPr>
          <w:rFonts w:ascii="Arial" w:hAnsi="Arial" w:cs="Arial"/>
          <w:b/>
          <w:bCs/>
          <w:sz w:val="24"/>
          <w:szCs w:val="24"/>
        </w:rPr>
        <w:t>Macroprocesos</w:t>
      </w:r>
      <w:proofErr w:type="spellEnd"/>
      <w:r w:rsidRPr="00FA0C53">
        <w:rPr>
          <w:rFonts w:ascii="Arial" w:hAnsi="Arial" w:cs="Arial"/>
          <w:b/>
          <w:bCs/>
          <w:sz w:val="24"/>
          <w:szCs w:val="24"/>
        </w:rPr>
        <w:t xml:space="preserve"> Primarios</w:t>
      </w:r>
      <w:r w:rsidRPr="00FA0C53">
        <w:rPr>
          <w:rFonts w:ascii="Arial" w:hAnsi="Arial" w:cs="Arial"/>
          <w:sz w:val="24"/>
          <w:szCs w:val="24"/>
        </w:rPr>
        <w:t xml:space="preserve">: Conjunto de </w:t>
      </w:r>
      <w:proofErr w:type="spellStart"/>
      <w:r w:rsidRPr="00FA0C53">
        <w:rPr>
          <w:rFonts w:ascii="Arial" w:hAnsi="Arial" w:cs="Arial"/>
          <w:sz w:val="24"/>
          <w:szCs w:val="24"/>
        </w:rPr>
        <w:t>Macroprocesos</w:t>
      </w:r>
      <w:proofErr w:type="spellEnd"/>
      <w:r w:rsidRPr="00FA0C53">
        <w:rPr>
          <w:rFonts w:ascii="Arial" w:hAnsi="Arial" w:cs="Arial"/>
          <w:sz w:val="24"/>
          <w:szCs w:val="24"/>
        </w:rPr>
        <w:t xml:space="preserve"> que responden a la cadena de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>trasformación de los productos y servicios para atención directa al cliente y la gestión de los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>recursos, el conocimiento del cliente, del mercado objetivo y el diseño de soluciones acorde a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>sus necesidades.</w:t>
      </w:r>
    </w:p>
    <w:p w:rsidR="00A636A3" w:rsidRPr="00FA0C53" w:rsidRDefault="00A636A3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574" w:rsidRPr="00FA0C53" w:rsidRDefault="00267574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C53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A0C53">
        <w:rPr>
          <w:rFonts w:ascii="Arial" w:hAnsi="Arial" w:cs="Arial"/>
          <w:b/>
          <w:bCs/>
          <w:sz w:val="24"/>
          <w:szCs w:val="24"/>
        </w:rPr>
        <w:t>Macroprocesos</w:t>
      </w:r>
      <w:proofErr w:type="spellEnd"/>
      <w:r w:rsidRPr="00FA0C53">
        <w:rPr>
          <w:rFonts w:ascii="Arial" w:hAnsi="Arial" w:cs="Arial"/>
          <w:b/>
          <w:bCs/>
          <w:sz w:val="24"/>
          <w:szCs w:val="24"/>
        </w:rPr>
        <w:t xml:space="preserve"> de Apoyo</w:t>
      </w:r>
      <w:r w:rsidRPr="00FA0C53">
        <w:rPr>
          <w:rFonts w:ascii="Arial" w:hAnsi="Arial" w:cs="Arial"/>
          <w:sz w:val="24"/>
          <w:szCs w:val="24"/>
        </w:rPr>
        <w:t xml:space="preserve">: Conjunto de </w:t>
      </w:r>
      <w:proofErr w:type="spellStart"/>
      <w:r w:rsidRPr="00FA0C53">
        <w:rPr>
          <w:rFonts w:ascii="Arial" w:hAnsi="Arial" w:cs="Arial"/>
          <w:sz w:val="24"/>
          <w:szCs w:val="24"/>
        </w:rPr>
        <w:t>Macroprocesos</w:t>
      </w:r>
      <w:proofErr w:type="spellEnd"/>
      <w:r w:rsidRPr="00FA0C53">
        <w:rPr>
          <w:rFonts w:ascii="Arial" w:hAnsi="Arial" w:cs="Arial"/>
          <w:sz w:val="24"/>
          <w:szCs w:val="24"/>
        </w:rPr>
        <w:t xml:space="preserve"> que soportan la gestión de los</w:t>
      </w:r>
      <w:r w:rsidR="00A636A3" w:rsidRPr="00FA0C53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 xml:space="preserve">demás </w:t>
      </w:r>
      <w:proofErr w:type="spellStart"/>
      <w:r w:rsidRPr="00FA0C53">
        <w:rPr>
          <w:rFonts w:ascii="Arial" w:hAnsi="Arial" w:cs="Arial"/>
          <w:sz w:val="24"/>
          <w:szCs w:val="24"/>
        </w:rPr>
        <w:t>Macroprocesos</w:t>
      </w:r>
      <w:proofErr w:type="spellEnd"/>
      <w:r w:rsidRPr="00FA0C53">
        <w:rPr>
          <w:rFonts w:ascii="Arial" w:hAnsi="Arial" w:cs="Arial"/>
          <w:sz w:val="24"/>
          <w:szCs w:val="24"/>
        </w:rPr>
        <w:t xml:space="preserve"> aportándoles los recursos necesarios para su desempeño.</w:t>
      </w:r>
    </w:p>
    <w:p w:rsidR="00267574" w:rsidRPr="00FA0C53" w:rsidRDefault="00267574" w:rsidP="00865CFE">
      <w:pPr>
        <w:jc w:val="both"/>
        <w:rPr>
          <w:rFonts w:ascii="Arial" w:hAnsi="Arial" w:cs="Arial"/>
          <w:sz w:val="24"/>
          <w:szCs w:val="24"/>
        </w:rPr>
      </w:pPr>
    </w:p>
    <w:p w:rsidR="00267574" w:rsidRPr="00FA0C53" w:rsidRDefault="00267574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C53">
        <w:rPr>
          <w:rFonts w:ascii="Arial" w:hAnsi="Arial" w:cs="Arial"/>
          <w:b/>
          <w:bCs/>
          <w:sz w:val="24"/>
          <w:szCs w:val="24"/>
        </w:rPr>
        <w:t>ESTRUCTURA DE ADMINISTRACIÓN Y GESTIÓN</w:t>
      </w:r>
      <w:r w:rsidRPr="00FA0C53">
        <w:rPr>
          <w:rFonts w:ascii="Arial" w:hAnsi="Arial" w:cs="Arial"/>
          <w:sz w:val="24"/>
          <w:szCs w:val="24"/>
        </w:rPr>
        <w:t>: El primer nivel de la</w:t>
      </w:r>
      <w:r w:rsidR="00865CFE">
        <w:rPr>
          <w:rFonts w:ascii="Arial" w:hAnsi="Arial" w:cs="Arial"/>
          <w:sz w:val="24"/>
          <w:szCs w:val="24"/>
        </w:rPr>
        <w:t xml:space="preserve"> </w:t>
      </w:r>
      <w:r w:rsidRPr="00FA0C53">
        <w:rPr>
          <w:rFonts w:ascii="Arial" w:hAnsi="Arial" w:cs="Arial"/>
          <w:sz w:val="24"/>
          <w:szCs w:val="24"/>
        </w:rPr>
        <w:t>estructura está conformado así:</w:t>
      </w:r>
    </w:p>
    <w:p w:rsidR="00A636A3" w:rsidRPr="00FA0C53" w:rsidRDefault="00A636A3" w:rsidP="00865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7574" w:rsidRPr="00865CFE" w:rsidRDefault="00267574" w:rsidP="00865CF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865CFE">
        <w:rPr>
          <w:rFonts w:ascii="Arial" w:hAnsi="Arial" w:cs="Arial"/>
          <w:sz w:val="24"/>
          <w:szCs w:val="24"/>
        </w:rPr>
        <w:t xml:space="preserve">Las áreas orientadas a la Gestión Gerencial y Estratégica: La Presidencia. </w:t>
      </w:r>
      <w:r w:rsidRPr="00865CFE">
        <w:rPr>
          <w:rFonts w:ascii="Arial" w:hAnsi="Arial" w:cs="Arial"/>
          <w:i/>
          <w:iCs/>
          <w:sz w:val="24"/>
          <w:szCs w:val="24"/>
        </w:rPr>
        <w:t>Nota: Aunque</w:t>
      </w:r>
      <w:r w:rsidR="00A636A3" w:rsidRPr="00865CFE">
        <w:rPr>
          <w:rFonts w:ascii="Arial" w:hAnsi="Arial" w:cs="Arial"/>
          <w:i/>
          <w:iCs/>
          <w:sz w:val="24"/>
          <w:szCs w:val="24"/>
        </w:rPr>
        <w:t xml:space="preserve"> </w:t>
      </w:r>
      <w:r w:rsidRPr="00865CFE">
        <w:rPr>
          <w:rFonts w:ascii="Arial" w:hAnsi="Arial" w:cs="Arial"/>
          <w:i/>
          <w:iCs/>
          <w:sz w:val="24"/>
          <w:szCs w:val="24"/>
        </w:rPr>
        <w:t>cuentan con componentes estratégicos, las áreas de Riesgo y Gestión, Jurídico y Cumplimiento, y</w:t>
      </w:r>
      <w:r w:rsidR="00A636A3" w:rsidRPr="00865CFE">
        <w:rPr>
          <w:rFonts w:ascii="Arial" w:hAnsi="Arial" w:cs="Arial"/>
          <w:i/>
          <w:iCs/>
          <w:sz w:val="24"/>
          <w:szCs w:val="24"/>
        </w:rPr>
        <w:t xml:space="preserve"> </w:t>
      </w:r>
      <w:r w:rsidRPr="00865CFE">
        <w:rPr>
          <w:rFonts w:ascii="Arial" w:hAnsi="Arial" w:cs="Arial"/>
          <w:i/>
          <w:iCs/>
          <w:sz w:val="24"/>
          <w:szCs w:val="24"/>
        </w:rPr>
        <w:t>Gestión Humana, se agrupan por afinidad según la cadena de valor.</w:t>
      </w:r>
    </w:p>
    <w:p w:rsidR="00865CFE" w:rsidRPr="00865CFE" w:rsidRDefault="00865CFE" w:rsidP="00865CFE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</w:p>
    <w:p w:rsidR="00865CFE" w:rsidRPr="00865CFE" w:rsidRDefault="00267574" w:rsidP="00865CF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865CFE">
        <w:rPr>
          <w:rFonts w:ascii="Arial" w:hAnsi="Arial" w:cs="Arial"/>
          <w:sz w:val="24"/>
          <w:szCs w:val="24"/>
        </w:rPr>
        <w:t>Las áreas orientadas a atender la gestión de los procesos primarios, que son: (i) la Gerencia</w:t>
      </w:r>
      <w:r w:rsidR="00A636A3" w:rsidRPr="00865CFE">
        <w:rPr>
          <w:rFonts w:ascii="Arial" w:hAnsi="Arial" w:cs="Arial"/>
          <w:sz w:val="24"/>
          <w:szCs w:val="24"/>
        </w:rPr>
        <w:t xml:space="preserve"> </w:t>
      </w:r>
      <w:r w:rsidRPr="00865CFE">
        <w:rPr>
          <w:rFonts w:ascii="Arial" w:hAnsi="Arial" w:cs="Arial"/>
          <w:sz w:val="24"/>
          <w:szCs w:val="24"/>
        </w:rPr>
        <w:t>de Mercadeo y Experiencia del Cliente, (ii) la Vicepresidencia Comercial, (iii) la</w:t>
      </w:r>
      <w:r w:rsidR="00A636A3" w:rsidRPr="00865CFE">
        <w:rPr>
          <w:rFonts w:ascii="Arial" w:hAnsi="Arial" w:cs="Arial"/>
          <w:sz w:val="24"/>
          <w:szCs w:val="24"/>
        </w:rPr>
        <w:t xml:space="preserve"> </w:t>
      </w:r>
      <w:r w:rsidRPr="00865CFE">
        <w:rPr>
          <w:rFonts w:ascii="Arial" w:hAnsi="Arial" w:cs="Arial"/>
          <w:sz w:val="24"/>
          <w:szCs w:val="24"/>
        </w:rPr>
        <w:t>Vicepresidencia Financiera y Administrativa, (iv) la Gerencia de Crédito, (v) la Gerencia de</w:t>
      </w:r>
      <w:r w:rsidR="00A636A3" w:rsidRPr="00865CFE">
        <w:rPr>
          <w:rFonts w:ascii="Arial" w:hAnsi="Arial" w:cs="Arial"/>
          <w:sz w:val="24"/>
          <w:szCs w:val="24"/>
        </w:rPr>
        <w:t xml:space="preserve"> </w:t>
      </w:r>
      <w:r w:rsidRPr="00865CFE">
        <w:rPr>
          <w:rFonts w:ascii="Arial" w:hAnsi="Arial" w:cs="Arial"/>
          <w:sz w:val="24"/>
          <w:szCs w:val="24"/>
        </w:rPr>
        <w:t>Operaciones, y (vi) las Gerencias Regionales.</w:t>
      </w:r>
    </w:p>
    <w:p w:rsidR="00865CFE" w:rsidRPr="00865CFE" w:rsidRDefault="00865CFE" w:rsidP="00865CFE">
      <w:pPr>
        <w:pStyle w:val="Prrafodelista"/>
        <w:ind w:left="284" w:hanging="284"/>
        <w:rPr>
          <w:rFonts w:ascii="Arial" w:hAnsi="Arial" w:cs="Arial"/>
          <w:sz w:val="24"/>
          <w:szCs w:val="24"/>
        </w:rPr>
      </w:pPr>
    </w:p>
    <w:p w:rsidR="00865CFE" w:rsidRPr="00865CFE" w:rsidRDefault="00267574" w:rsidP="00865CF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865CFE">
        <w:rPr>
          <w:rFonts w:ascii="Arial" w:hAnsi="Arial" w:cs="Arial"/>
          <w:sz w:val="24"/>
          <w:szCs w:val="24"/>
        </w:rPr>
        <w:lastRenderedPageBreak/>
        <w:t>Las áreas orientadas a gestionar los procesos de control del Banco y el Sector, que son: (i) la</w:t>
      </w:r>
      <w:r w:rsidR="00A636A3" w:rsidRPr="00865CFE">
        <w:rPr>
          <w:rFonts w:ascii="Arial" w:hAnsi="Arial" w:cs="Arial"/>
          <w:sz w:val="24"/>
          <w:szCs w:val="24"/>
        </w:rPr>
        <w:t xml:space="preserve"> </w:t>
      </w:r>
      <w:r w:rsidRPr="00865CFE">
        <w:rPr>
          <w:rFonts w:ascii="Arial" w:hAnsi="Arial" w:cs="Arial"/>
          <w:sz w:val="24"/>
          <w:szCs w:val="24"/>
        </w:rPr>
        <w:t>Vicepresidencia de Riesgo y Gestión, (ii) la Gerencia Jurídica y de Cumplimiento, y (iii) la</w:t>
      </w:r>
      <w:r w:rsidR="00A636A3" w:rsidRPr="00865CFE">
        <w:rPr>
          <w:rFonts w:ascii="Arial" w:hAnsi="Arial" w:cs="Arial"/>
          <w:sz w:val="24"/>
          <w:szCs w:val="24"/>
        </w:rPr>
        <w:t xml:space="preserve"> </w:t>
      </w:r>
      <w:r w:rsidRPr="00865CFE">
        <w:rPr>
          <w:rFonts w:ascii="Arial" w:hAnsi="Arial" w:cs="Arial"/>
          <w:sz w:val="24"/>
          <w:szCs w:val="24"/>
        </w:rPr>
        <w:t>Gerencia de Auditoría.</w:t>
      </w:r>
    </w:p>
    <w:p w:rsidR="00865CFE" w:rsidRPr="00865CFE" w:rsidRDefault="00865CFE" w:rsidP="00865CFE">
      <w:pPr>
        <w:pStyle w:val="Prrafodelista"/>
        <w:ind w:left="284" w:hanging="284"/>
        <w:rPr>
          <w:rFonts w:ascii="Arial" w:hAnsi="Arial" w:cs="Arial"/>
          <w:sz w:val="24"/>
          <w:szCs w:val="24"/>
        </w:rPr>
      </w:pPr>
    </w:p>
    <w:p w:rsidR="00267574" w:rsidRPr="00865CFE" w:rsidRDefault="00267574" w:rsidP="00865CF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865CFE">
        <w:rPr>
          <w:rFonts w:ascii="Arial" w:hAnsi="Arial" w:cs="Arial"/>
          <w:sz w:val="24"/>
          <w:szCs w:val="24"/>
        </w:rPr>
        <w:t>Las áreas orientadas al Apoyo en el desarrollo de los servicios y procesos: (i) La Gerencia de</w:t>
      </w:r>
      <w:r w:rsidR="00A636A3" w:rsidRPr="00865CFE">
        <w:rPr>
          <w:rFonts w:ascii="Arial" w:hAnsi="Arial" w:cs="Arial"/>
          <w:sz w:val="24"/>
          <w:szCs w:val="24"/>
        </w:rPr>
        <w:t xml:space="preserve"> </w:t>
      </w:r>
      <w:r w:rsidRPr="00865CFE">
        <w:rPr>
          <w:rFonts w:ascii="Arial" w:hAnsi="Arial" w:cs="Arial"/>
          <w:sz w:val="24"/>
          <w:szCs w:val="24"/>
        </w:rPr>
        <w:t>Gestión Humana, (ii) La Gerencia de Transformación Organizacional, y (iii) La Gerencia de</w:t>
      </w:r>
      <w:r w:rsidR="00A636A3" w:rsidRPr="00865CFE">
        <w:rPr>
          <w:rFonts w:ascii="Arial" w:hAnsi="Arial" w:cs="Arial"/>
          <w:sz w:val="24"/>
          <w:szCs w:val="24"/>
        </w:rPr>
        <w:t xml:space="preserve"> </w:t>
      </w:r>
      <w:r w:rsidRPr="00865CFE">
        <w:rPr>
          <w:rFonts w:ascii="Arial" w:hAnsi="Arial" w:cs="Arial"/>
          <w:sz w:val="24"/>
          <w:szCs w:val="24"/>
        </w:rPr>
        <w:t>Tecnología.</w:t>
      </w:r>
    </w:p>
    <w:p w:rsidR="00A636A3" w:rsidRDefault="00A636A3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CFE" w:rsidRDefault="00AA00C4" w:rsidP="00865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0C4">
        <w:drawing>
          <wp:inline distT="0" distB="0" distL="0" distR="0" wp14:anchorId="21D34395" wp14:editId="43DDD45A">
            <wp:extent cx="5612130" cy="422592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C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37C"/>
    <w:multiLevelType w:val="hybridMultilevel"/>
    <w:tmpl w:val="065E94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4"/>
    <w:rsid w:val="000D31C6"/>
    <w:rsid w:val="00267574"/>
    <w:rsid w:val="00444BB7"/>
    <w:rsid w:val="007C719E"/>
    <w:rsid w:val="00865CFE"/>
    <w:rsid w:val="00A636A3"/>
    <w:rsid w:val="00AA00C4"/>
    <w:rsid w:val="00B14E0B"/>
    <w:rsid w:val="00D06607"/>
    <w:rsid w:val="00F50D24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48B12-1607-4715-904B-0BCD0530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3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31C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0D3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86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Clemencia Marroquin Moreno</dc:creator>
  <cp:keywords/>
  <dc:description/>
  <cp:lastModifiedBy>Maria Clemencia Marroquin Moreno</cp:lastModifiedBy>
  <cp:revision>4</cp:revision>
  <dcterms:created xsi:type="dcterms:W3CDTF">2022-01-07T14:15:00Z</dcterms:created>
  <dcterms:modified xsi:type="dcterms:W3CDTF">2022-09-08T15:02:00Z</dcterms:modified>
</cp:coreProperties>
</file>